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14FD1089"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7014E6">
        <w:rPr>
          <w:rFonts w:ascii="Arial" w:hAnsi="Arial" w:cs="Arial"/>
          <w:b/>
          <w:bCs/>
          <w:sz w:val="22"/>
        </w:rPr>
        <w:t>8</w:t>
      </w:r>
      <w:r w:rsidR="008838EF">
        <w:rPr>
          <w:rFonts w:ascii="Arial" w:hAnsi="Arial" w:cs="Arial"/>
          <w:b/>
          <w:bCs/>
          <w:sz w:val="22"/>
        </w:rPr>
        <w:t>3</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bookmarkStart w:id="0" w:name="_GoBack"/>
      <w:bookmarkEnd w:id="0"/>
      <w:r w:rsidR="00E56774">
        <w:rPr>
          <w:rFonts w:ascii="Arial" w:hAnsi="Arial" w:cs="Arial"/>
          <w:b/>
          <w:bCs/>
          <w:sz w:val="22"/>
        </w:rPr>
        <w:t>R</w:t>
      </w:r>
      <w:r w:rsidR="007014E6">
        <w:rPr>
          <w:rFonts w:ascii="Arial" w:hAnsi="Arial" w:cs="Arial"/>
          <w:b/>
          <w:bCs/>
          <w:sz w:val="22"/>
        </w:rPr>
        <w:t>P</w:t>
      </w:r>
      <w:r w:rsidR="00744A36" w:rsidRPr="00744A36">
        <w:rPr>
          <w:rFonts w:ascii="Arial" w:hAnsi="Arial" w:cs="Arial"/>
          <w:b/>
          <w:bCs/>
          <w:sz w:val="22"/>
        </w:rPr>
        <w:t>-190191</w:t>
      </w:r>
    </w:p>
    <w:p w14:paraId="0351D878" w14:textId="3B8B890F" w:rsidR="0066434B" w:rsidRPr="00341F45" w:rsidRDefault="008838EF" w:rsidP="00341F45">
      <w:pPr>
        <w:tabs>
          <w:tab w:val="left" w:pos="1985"/>
          <w:tab w:val="right" w:pos="9422"/>
        </w:tabs>
        <w:spacing w:after="0"/>
        <w:jc w:val="both"/>
        <w:rPr>
          <w:rFonts w:ascii="Arial" w:hAnsi="Arial" w:cs="Arial"/>
          <w:b/>
          <w:bCs/>
          <w:sz w:val="22"/>
        </w:rPr>
      </w:pPr>
      <w:r>
        <w:rPr>
          <w:rFonts w:ascii="Arial" w:hAnsi="Arial" w:cs="Arial"/>
          <w:b/>
          <w:bCs/>
          <w:sz w:val="22"/>
        </w:rPr>
        <w:t>Shenzhen</w:t>
      </w:r>
      <w:r w:rsidR="007014E6">
        <w:rPr>
          <w:rFonts w:ascii="Arial" w:hAnsi="Arial" w:cs="Arial"/>
          <w:b/>
          <w:bCs/>
          <w:sz w:val="22"/>
        </w:rPr>
        <w:t xml:space="preserve">, </w:t>
      </w:r>
      <w:r>
        <w:rPr>
          <w:rFonts w:ascii="Arial" w:hAnsi="Arial" w:cs="Arial"/>
          <w:b/>
          <w:bCs/>
          <w:sz w:val="22"/>
        </w:rPr>
        <w:t>China</w:t>
      </w:r>
      <w:r w:rsidR="00341F45" w:rsidRPr="00A27B82">
        <w:rPr>
          <w:rFonts w:ascii="Arial" w:hAnsi="Arial" w:cs="Arial"/>
          <w:b/>
          <w:bCs/>
          <w:sz w:val="22"/>
        </w:rPr>
        <w:t xml:space="preserve">, </w:t>
      </w:r>
      <w:r>
        <w:rPr>
          <w:rFonts w:ascii="Arial" w:hAnsi="Arial" w:cs="Arial"/>
          <w:b/>
          <w:bCs/>
          <w:sz w:val="22"/>
        </w:rPr>
        <w:t>March</w:t>
      </w:r>
      <w:r w:rsidR="00341F45" w:rsidRPr="00A27B82">
        <w:rPr>
          <w:rFonts w:ascii="Arial" w:hAnsi="Arial" w:cs="Arial"/>
          <w:b/>
          <w:bCs/>
          <w:sz w:val="22"/>
        </w:rPr>
        <w:t xml:space="preserve"> </w:t>
      </w:r>
      <w:r w:rsidR="007014E6">
        <w:rPr>
          <w:rFonts w:ascii="Arial" w:hAnsi="Arial" w:cs="Arial"/>
          <w:b/>
          <w:bCs/>
          <w:sz w:val="22"/>
        </w:rPr>
        <w:t>1</w:t>
      </w:r>
      <w:r>
        <w:rPr>
          <w:rFonts w:ascii="Arial" w:hAnsi="Arial" w:cs="Arial"/>
          <w:b/>
          <w:bCs/>
          <w:sz w:val="22"/>
        </w:rPr>
        <w:t>8</w:t>
      </w:r>
      <w:r>
        <w:rPr>
          <w:rFonts w:ascii="Arial" w:hAnsi="Arial" w:cs="Arial"/>
          <w:b/>
          <w:bCs/>
          <w:sz w:val="22"/>
          <w:vertAlign w:val="superscript"/>
        </w:rPr>
        <w:t>th</w:t>
      </w:r>
      <w:r w:rsidR="00341F45" w:rsidRPr="00A27B82">
        <w:rPr>
          <w:rFonts w:ascii="Arial" w:hAnsi="Arial" w:cs="Arial"/>
          <w:b/>
          <w:bCs/>
          <w:sz w:val="22"/>
        </w:rPr>
        <w:t xml:space="preserve"> – </w:t>
      </w:r>
      <w:r>
        <w:rPr>
          <w:rFonts w:ascii="Arial" w:hAnsi="Arial" w:cs="Arial"/>
          <w:b/>
          <w:bCs/>
          <w:sz w:val="22"/>
        </w:rPr>
        <w:t>21</w:t>
      </w:r>
      <w:r>
        <w:rPr>
          <w:rFonts w:ascii="Arial" w:hAnsi="Arial" w:cs="Arial"/>
          <w:b/>
          <w:bCs/>
          <w:sz w:val="22"/>
          <w:vertAlign w:val="superscript"/>
        </w:rPr>
        <w:t>st</w:t>
      </w:r>
      <w:r w:rsidR="00341F45" w:rsidRPr="00A27B82">
        <w:rPr>
          <w:rFonts w:ascii="Arial" w:hAnsi="Arial" w:cs="Arial"/>
          <w:b/>
          <w:bCs/>
          <w:sz w:val="22"/>
        </w:rPr>
        <w:t>, 201</w:t>
      </w:r>
      <w:r>
        <w:rPr>
          <w:rFonts w:ascii="Arial" w:hAnsi="Arial" w:cs="Arial"/>
          <w:b/>
          <w:bCs/>
          <w:sz w:val="22"/>
        </w:rPr>
        <w:t>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2235E845"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1" w:name="Source"/>
      <w:bookmarkEnd w:id="1"/>
      <w:r w:rsidR="00744A36">
        <w:rPr>
          <w:rFonts w:ascii="Arial" w:hAnsi="Arial"/>
          <w:sz w:val="22"/>
        </w:rPr>
        <w:t>9</w:t>
      </w:r>
      <w:r w:rsidR="007014E6">
        <w:rPr>
          <w:rFonts w:ascii="Arial" w:hAnsi="Arial"/>
          <w:sz w:val="22"/>
        </w:rPr>
        <w:t>.</w:t>
      </w:r>
      <w:r w:rsidR="00744A36">
        <w:rPr>
          <w:rFonts w:ascii="Arial" w:hAnsi="Arial"/>
          <w:sz w:val="22"/>
        </w:rPr>
        <w:t>1.2</w:t>
      </w:r>
    </w:p>
    <w:p w14:paraId="0482CD35" w14:textId="666A1ACA"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1C1F9816"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744A36" w:rsidRPr="00744A36">
        <w:rPr>
          <w:rFonts w:ascii="Arial" w:hAnsi="Arial"/>
          <w:sz w:val="22"/>
        </w:rPr>
        <w:t>Motivation for WI on support of NR Industrial Internet of Things (IoT)</w:t>
      </w:r>
    </w:p>
    <w:p w14:paraId="0FDBAE51" w14:textId="64AE3369" w:rsidR="00A77FDE"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w:t>
      </w:r>
    </w:p>
    <w:p w14:paraId="09F71FAF" w14:textId="77777777" w:rsidR="00963BD0" w:rsidRPr="00214458" w:rsidRDefault="00963BD0" w:rsidP="00214458">
      <w:pPr>
        <w:spacing w:after="120"/>
        <w:ind w:left="1988" w:hanging="1988"/>
        <w:jc w:val="both"/>
        <w:rPr>
          <w:rFonts w:ascii="Arial" w:hAnsi="Arial"/>
          <w:sz w:val="22"/>
        </w:rPr>
      </w:pPr>
    </w:p>
    <w:p w14:paraId="19FCB675" w14:textId="26765C16" w:rsidR="00902FEA" w:rsidRPr="00FC2A81" w:rsidRDefault="00902FEA" w:rsidP="00963BD0">
      <w:pPr>
        <w:pStyle w:val="Heading1"/>
        <w:rPr>
          <w:lang w:eastAsia="zh-CN"/>
        </w:rPr>
      </w:pPr>
      <w:r w:rsidRPr="00963BD0">
        <w:t>Discussion</w:t>
      </w:r>
      <w:r w:rsidR="00D35A73" w:rsidRPr="00FC2A81">
        <w:rPr>
          <w:rFonts w:eastAsia="MS Mincho"/>
          <w:lang w:val="en-US"/>
        </w:rPr>
        <w:t xml:space="preserve"> </w:t>
      </w:r>
      <w:r w:rsidRPr="00FC2A81">
        <w:rPr>
          <w:rFonts w:eastAsia="MS Mincho"/>
          <w:lang w:val="en-US"/>
        </w:rPr>
        <w:t xml:space="preserve"> </w:t>
      </w:r>
    </w:p>
    <w:p w14:paraId="76ECBED2" w14:textId="4D4D1A3A" w:rsidR="007014E6" w:rsidRDefault="003E517F" w:rsidP="00AD6DE7">
      <w:pPr>
        <w:spacing w:after="0"/>
        <w:jc w:val="both"/>
        <w:rPr>
          <w:rFonts w:eastAsia="MS Mincho"/>
          <w:lang w:val="en-US"/>
        </w:rPr>
      </w:pPr>
      <w:r>
        <w:rPr>
          <w:rFonts w:eastAsia="MS Mincho"/>
          <w:lang w:val="en-US"/>
        </w:rPr>
        <w:t>In this document, we discuss</w:t>
      </w:r>
      <w:r w:rsidR="007014E6">
        <w:rPr>
          <w:rFonts w:eastAsia="MS Mincho"/>
          <w:lang w:val="en-US"/>
        </w:rPr>
        <w:t xml:space="preserve"> </w:t>
      </w:r>
      <w:r w:rsidR="00AD6DE7">
        <w:rPr>
          <w:rFonts w:eastAsia="MS Mincho"/>
          <w:lang w:val="en-US"/>
        </w:rPr>
        <w:t xml:space="preserve">the motivations and justifications of </w:t>
      </w:r>
      <w:r w:rsidR="0035296A">
        <w:rPr>
          <w:rFonts w:eastAsia="MS Mincho"/>
          <w:lang w:val="en-US"/>
        </w:rPr>
        <w:t xml:space="preserve">approving WI on NR </w:t>
      </w:r>
      <w:proofErr w:type="spellStart"/>
      <w:r w:rsidR="0035296A">
        <w:rPr>
          <w:rFonts w:eastAsia="MS Mincho"/>
          <w:lang w:val="en-US"/>
        </w:rPr>
        <w:t>IIoT</w:t>
      </w:r>
      <w:proofErr w:type="spellEnd"/>
      <w:r w:rsidR="002D2581">
        <w:rPr>
          <w:rFonts w:eastAsia="MS Mincho"/>
          <w:lang w:val="en-US"/>
        </w:rPr>
        <w:t>, which was mainly a</w:t>
      </w:r>
      <w:r w:rsidR="0035296A">
        <w:rPr>
          <w:rFonts w:eastAsia="MS Mincho"/>
          <w:lang w:val="en-US"/>
        </w:rPr>
        <w:t xml:space="preserve">ctuated by the </w:t>
      </w:r>
      <w:r w:rsidR="00604ECC">
        <w:rPr>
          <w:rFonts w:eastAsia="MS Mincho"/>
          <w:lang w:val="en-US"/>
        </w:rPr>
        <w:t>incentives</w:t>
      </w:r>
      <w:r w:rsidR="0035296A">
        <w:rPr>
          <w:rFonts w:eastAsia="MS Mincho"/>
          <w:lang w:val="en-US"/>
        </w:rPr>
        <w:t xml:space="preserve"> of expanding 5G NR system to support new use cases emerging in various verticals such as automated factories, electricity distribution and entertainment</w:t>
      </w:r>
      <w:r w:rsidR="002D2581">
        <w:rPr>
          <w:rFonts w:eastAsia="MS Mincho"/>
          <w:lang w:val="en-US"/>
        </w:rPr>
        <w:t xml:space="preserve">. Some efforts across different RAN and SA working groups have been undertaken in the SI of NR </w:t>
      </w:r>
      <w:proofErr w:type="spellStart"/>
      <w:r w:rsidR="002D2581">
        <w:rPr>
          <w:rFonts w:eastAsia="MS Mincho"/>
          <w:lang w:val="en-US"/>
        </w:rPr>
        <w:t>IIoT</w:t>
      </w:r>
      <w:proofErr w:type="spellEnd"/>
      <w:r w:rsidR="002D2581">
        <w:rPr>
          <w:rFonts w:eastAsia="MS Mincho"/>
          <w:lang w:val="en-US"/>
        </w:rPr>
        <w:t xml:space="preserve"> (led by RAN2), to examine possible enhancements that may be introduced in Rel-16 to further equip 5G NR connectivity with capabilities of supporting industrial use cases. </w:t>
      </w:r>
      <w:r w:rsidR="00604ECC">
        <w:rPr>
          <w:rFonts w:eastAsia="MS Mincho"/>
          <w:lang w:val="en-US"/>
        </w:rPr>
        <w:t>Since</w:t>
      </w:r>
      <w:r w:rsidR="002D2581">
        <w:rPr>
          <w:rFonts w:eastAsia="MS Mincho"/>
          <w:lang w:val="en-US"/>
        </w:rPr>
        <w:t xml:space="preserve"> many industrial use cases typically have much more stringent requirement</w:t>
      </w:r>
      <w:r w:rsidR="00EA4982">
        <w:rPr>
          <w:rFonts w:eastAsia="MS Mincho"/>
          <w:lang w:val="en-US"/>
        </w:rPr>
        <w:t>s</w:t>
      </w:r>
      <w:r w:rsidR="002D2581">
        <w:rPr>
          <w:rFonts w:eastAsia="MS Mincho"/>
          <w:lang w:val="en-US"/>
        </w:rPr>
        <w:t xml:space="preserve"> in terms of reliability and latency (as shown in T</w:t>
      </w:r>
      <w:r w:rsidR="00EA4982">
        <w:rPr>
          <w:rFonts w:eastAsia="MS Mincho"/>
          <w:lang w:val="en-US"/>
        </w:rPr>
        <w:t>S</w:t>
      </w:r>
      <w:r w:rsidR="002D2581">
        <w:rPr>
          <w:rFonts w:eastAsia="MS Mincho"/>
          <w:lang w:val="en-US"/>
        </w:rPr>
        <w:t xml:space="preserve"> 22.</w:t>
      </w:r>
      <w:r w:rsidR="00EA4982">
        <w:rPr>
          <w:rFonts w:eastAsia="MS Mincho"/>
          <w:lang w:val="en-US"/>
        </w:rPr>
        <w:t xml:space="preserve">104 </w:t>
      </w:r>
      <w:r w:rsidR="003E3576">
        <w:rPr>
          <w:rFonts w:eastAsia="MS Mincho"/>
          <w:lang w:val="en-US"/>
        </w:rPr>
        <w:t>[1]</w:t>
      </w:r>
      <w:r w:rsidR="002D2581">
        <w:rPr>
          <w:rFonts w:eastAsia="MS Mincho"/>
          <w:lang w:val="en-US"/>
        </w:rPr>
        <w:t xml:space="preserve">), </w:t>
      </w:r>
      <w:r w:rsidR="00426FD6">
        <w:rPr>
          <w:rFonts w:eastAsia="MS Mincho"/>
          <w:lang w:val="en-US"/>
        </w:rPr>
        <w:t xml:space="preserve">further improvement of achievable reliability and latency performance comparing to Rel-15 have been deemed as the key features of the next release. </w:t>
      </w:r>
      <w:r w:rsidR="00604ECC">
        <w:rPr>
          <w:rFonts w:eastAsia="MS Mincho"/>
          <w:lang w:val="en-US"/>
        </w:rPr>
        <w:t>Notably</w:t>
      </w:r>
      <w:r w:rsidR="00426FD6">
        <w:rPr>
          <w:rFonts w:eastAsia="MS Mincho"/>
          <w:lang w:val="en-US"/>
        </w:rPr>
        <w:t xml:space="preserve">, traffic flows originated from industrial applications such as </w:t>
      </w:r>
      <w:r w:rsidR="00DB2812">
        <w:rPr>
          <w:rFonts w:eastAsia="MS Mincho"/>
          <w:lang w:val="en-US"/>
        </w:rPr>
        <w:t>Time-Sensitive Communications (TSC)</w:t>
      </w:r>
      <w:r w:rsidR="00426FD6">
        <w:rPr>
          <w:rFonts w:eastAsia="MS Mincho"/>
          <w:lang w:val="en-US"/>
        </w:rPr>
        <w:t xml:space="preserve"> may be characterized with periodic traffic pattern and requirement of deterministic delay, </w:t>
      </w:r>
      <w:r w:rsidR="00604ECC">
        <w:rPr>
          <w:rFonts w:eastAsia="MS Mincho"/>
          <w:lang w:val="en-US"/>
        </w:rPr>
        <w:t xml:space="preserve">and </w:t>
      </w:r>
      <w:r w:rsidR="00426FD6">
        <w:rPr>
          <w:rFonts w:eastAsia="MS Mincho"/>
          <w:lang w:val="en-US"/>
        </w:rPr>
        <w:t xml:space="preserve">modifications to the specifications </w:t>
      </w:r>
      <w:r w:rsidR="00604ECC">
        <w:rPr>
          <w:rFonts w:eastAsia="MS Mincho"/>
          <w:lang w:val="en-US"/>
        </w:rPr>
        <w:t xml:space="preserve">in different aspects (such as resource scheduling and time synchronization) </w:t>
      </w:r>
      <w:r w:rsidR="00426FD6">
        <w:rPr>
          <w:rFonts w:eastAsia="MS Mincho"/>
          <w:lang w:val="en-US"/>
        </w:rPr>
        <w:t xml:space="preserve">are needed </w:t>
      </w:r>
      <w:r w:rsidR="00604ECC">
        <w:rPr>
          <w:rFonts w:eastAsia="MS Mincho"/>
          <w:lang w:val="en-US"/>
        </w:rPr>
        <w:t xml:space="preserve">for the sake of catering these new services. In addition, to support the 5G NR </w:t>
      </w:r>
      <w:r w:rsidR="00E777BC">
        <w:rPr>
          <w:rFonts w:eastAsia="MS Mincho"/>
          <w:lang w:val="en-US"/>
        </w:rPr>
        <w:t xml:space="preserve">operations </w:t>
      </w:r>
      <w:r w:rsidR="00604ECC">
        <w:rPr>
          <w:rFonts w:eastAsia="MS Mincho"/>
          <w:lang w:val="en-US"/>
        </w:rPr>
        <w:t xml:space="preserve">specifically </w:t>
      </w:r>
      <w:r w:rsidR="00E777BC">
        <w:rPr>
          <w:rFonts w:eastAsia="MS Mincho"/>
          <w:lang w:val="en-US"/>
        </w:rPr>
        <w:t>dedicated to a network owner in different</w:t>
      </w:r>
      <w:r w:rsidR="00604ECC">
        <w:rPr>
          <w:rFonts w:eastAsia="MS Mincho"/>
          <w:lang w:val="en-US"/>
        </w:rPr>
        <w:t xml:space="preserve"> verticals, the protocols </w:t>
      </w:r>
      <w:r w:rsidR="00E777BC">
        <w:rPr>
          <w:rFonts w:eastAsia="MS Mincho"/>
          <w:lang w:val="en-US"/>
        </w:rPr>
        <w:t>should be enhanced to enable identification and selection of non-public networks (NPN) and closed access groups (CAG).</w:t>
      </w:r>
    </w:p>
    <w:p w14:paraId="1372B2D8" w14:textId="3243CCE1" w:rsidR="00604ECC" w:rsidRDefault="00604ECC" w:rsidP="00AD6DE7">
      <w:pPr>
        <w:spacing w:after="0"/>
        <w:jc w:val="both"/>
        <w:rPr>
          <w:rFonts w:eastAsia="MS Mincho"/>
          <w:lang w:val="en-US"/>
        </w:rPr>
      </w:pPr>
    </w:p>
    <w:p w14:paraId="2F27092E" w14:textId="39EF0CFB" w:rsidR="00E777BC" w:rsidRDefault="00E777BC" w:rsidP="00604ECC">
      <w:pPr>
        <w:spacing w:after="0"/>
        <w:jc w:val="both"/>
        <w:rPr>
          <w:bCs/>
        </w:rPr>
      </w:pPr>
      <w:r>
        <w:rPr>
          <w:bCs/>
        </w:rPr>
        <w:t xml:space="preserve">Based on the discussion above, as well as the conclusions made by NR </w:t>
      </w:r>
      <w:proofErr w:type="spellStart"/>
      <w:r>
        <w:rPr>
          <w:bCs/>
        </w:rPr>
        <w:t>IIoT</w:t>
      </w:r>
      <w:proofErr w:type="spellEnd"/>
      <w:r>
        <w:rPr>
          <w:bCs/>
        </w:rPr>
        <w:t xml:space="preserve"> SI</w:t>
      </w:r>
      <w:r w:rsidR="003E3576">
        <w:rPr>
          <w:bCs/>
        </w:rPr>
        <w:t xml:space="preserve"> and captured in [2]</w:t>
      </w:r>
      <w:r>
        <w:rPr>
          <w:bCs/>
        </w:rPr>
        <w:t xml:space="preserve">, </w:t>
      </w:r>
      <w:r w:rsidR="00DE3E4C">
        <w:rPr>
          <w:bCs/>
        </w:rPr>
        <w:t>it is proposed to address the issues and specify enhancements targeting at the following areas in the WI:</w:t>
      </w:r>
    </w:p>
    <w:p w14:paraId="161547B7" w14:textId="77777777" w:rsidR="006066FC" w:rsidRDefault="006066FC" w:rsidP="006066FC">
      <w:pPr>
        <w:spacing w:after="0"/>
        <w:jc w:val="both"/>
        <w:rPr>
          <w:bCs/>
        </w:rPr>
      </w:pPr>
    </w:p>
    <w:p w14:paraId="6607BC22" w14:textId="33B0C554" w:rsidR="00DE3E4C" w:rsidRPr="0057572F" w:rsidRDefault="00DE3E4C" w:rsidP="001935E2">
      <w:pPr>
        <w:pStyle w:val="ListParagraph"/>
        <w:numPr>
          <w:ilvl w:val="0"/>
          <w:numId w:val="3"/>
        </w:numPr>
        <w:spacing w:after="0"/>
        <w:jc w:val="both"/>
        <w:rPr>
          <w:b/>
          <w:bCs/>
        </w:rPr>
      </w:pPr>
      <w:r w:rsidRPr="0057572F">
        <w:rPr>
          <w:b/>
          <w:bCs/>
        </w:rPr>
        <w:t>Multi-Connectivity and Data Duplication Enhancement</w:t>
      </w:r>
      <w:r w:rsidR="0057572F" w:rsidRPr="0057572F">
        <w:rPr>
          <w:b/>
          <w:bCs/>
        </w:rPr>
        <w:t>:</w:t>
      </w:r>
    </w:p>
    <w:p w14:paraId="64D3CB89" w14:textId="29227472" w:rsidR="006066FC" w:rsidRPr="0057572F" w:rsidRDefault="0057572F" w:rsidP="000804DC">
      <w:pPr>
        <w:pStyle w:val="ListParagraph"/>
        <w:spacing w:after="0"/>
        <w:jc w:val="both"/>
        <w:rPr>
          <w:bCs/>
        </w:rPr>
      </w:pPr>
      <w:r w:rsidRPr="0057572F">
        <w:rPr>
          <w:bCs/>
        </w:rPr>
        <w:t>PDCP duplication</w:t>
      </w:r>
      <w:r w:rsidR="00533FDB">
        <w:rPr>
          <w:bCs/>
        </w:rPr>
        <w:t xml:space="preserve"> based on either CA or DC</w:t>
      </w:r>
      <w:r>
        <w:rPr>
          <w:bCs/>
        </w:rPr>
        <w:t xml:space="preserve"> has been adopted in Rel-15 as a tactic to realize URLLC in 5G NR</w:t>
      </w:r>
      <w:r w:rsidR="00533FDB">
        <w:rPr>
          <w:bCs/>
        </w:rPr>
        <w:t>, the benefits of which are attributed to the diversity gain obtained by transmitting two identical PDCP PDUs over distinct air-interface paths</w:t>
      </w:r>
      <w:r>
        <w:rPr>
          <w:bCs/>
        </w:rPr>
        <w:t>. To further improve the achievable reliability and latency performance based on PDCP duplication,</w:t>
      </w:r>
      <w:r w:rsidRPr="0057572F">
        <w:rPr>
          <w:bCs/>
        </w:rPr>
        <w:t xml:space="preserve"> </w:t>
      </w:r>
      <w:r w:rsidR="00533FDB">
        <w:rPr>
          <w:bCs/>
        </w:rPr>
        <w:t xml:space="preserve">transmission of more than 2 copies (e.g. up to 4) of PDCP PDUs may be </w:t>
      </w:r>
      <w:r w:rsidR="00E43F2C">
        <w:rPr>
          <w:bCs/>
        </w:rPr>
        <w:t>applied</w:t>
      </w:r>
      <w:r w:rsidR="00533FDB">
        <w:rPr>
          <w:bCs/>
        </w:rPr>
        <w:t xml:space="preserve"> to further increase the diversity gain, </w:t>
      </w:r>
      <w:r w:rsidR="003F35CF">
        <w:rPr>
          <w:bCs/>
        </w:rPr>
        <w:t xml:space="preserve">which is also possible with </w:t>
      </w:r>
      <w:r w:rsidR="00E43F2C">
        <w:rPr>
          <w:bCs/>
        </w:rPr>
        <w:t>deployment architectures combining CA and DC involving NR nodes only</w:t>
      </w:r>
      <w:r w:rsidR="00533FDB">
        <w:rPr>
          <w:bCs/>
        </w:rPr>
        <w:t xml:space="preserve">. </w:t>
      </w:r>
      <w:r w:rsidR="003F35CF">
        <w:rPr>
          <w:bCs/>
        </w:rPr>
        <w:t xml:space="preserve">Such enhancement may require configuration of multiple RLC entities or legs, and dynamic control of these configured RLC entities or legs (e.g. dynamically switching the activated legs and/or carriers) could be beneficial </w:t>
      </w:r>
      <w:r w:rsidR="006066FC">
        <w:rPr>
          <w:bCs/>
        </w:rPr>
        <w:t xml:space="preserve">due to higher flexibility. Moreover, to improve the resource efficiency of PDCP duplication, features such as alternative ways of activating/deactivating PDCP duplication, and per-packet selective duplication, may be developed in Rel-16. Note that </w:t>
      </w:r>
      <w:r w:rsidRPr="0057572F">
        <w:rPr>
          <w:bCs/>
        </w:rPr>
        <w:t>higher-layer multi-connectivity</w:t>
      </w:r>
      <w:r w:rsidR="006066FC">
        <w:rPr>
          <w:bCs/>
        </w:rPr>
        <w:t xml:space="preserve"> can also be employed to further enhance URLLC</w:t>
      </w:r>
      <w:r w:rsidRPr="0057572F">
        <w:rPr>
          <w:bCs/>
        </w:rPr>
        <w:t>, in which redundant paths of network segments could be utilized to improve both reliability and latency</w:t>
      </w:r>
      <w:r w:rsidR="006066FC">
        <w:rPr>
          <w:bCs/>
        </w:rPr>
        <w:t>.</w:t>
      </w:r>
    </w:p>
    <w:p w14:paraId="1F8F0973" w14:textId="416065C0" w:rsidR="0057572F" w:rsidRDefault="0057572F" w:rsidP="0057572F">
      <w:pPr>
        <w:pStyle w:val="ListParagraph"/>
        <w:spacing w:after="0"/>
        <w:jc w:val="both"/>
        <w:rPr>
          <w:bCs/>
        </w:rPr>
      </w:pPr>
    </w:p>
    <w:p w14:paraId="7DE387A4" w14:textId="5961778C" w:rsidR="0039038E" w:rsidRPr="0057572F" w:rsidRDefault="0039038E" w:rsidP="001935E2">
      <w:pPr>
        <w:pStyle w:val="ListParagraph"/>
        <w:numPr>
          <w:ilvl w:val="0"/>
          <w:numId w:val="3"/>
        </w:numPr>
        <w:spacing w:after="0"/>
        <w:jc w:val="both"/>
        <w:rPr>
          <w:b/>
          <w:bCs/>
        </w:rPr>
      </w:pPr>
      <w:r>
        <w:rPr>
          <w:b/>
          <w:bCs/>
        </w:rPr>
        <w:t>Intra-UE Prioritization/Multiplexing</w:t>
      </w:r>
      <w:r w:rsidRPr="0057572F">
        <w:rPr>
          <w:b/>
          <w:bCs/>
        </w:rPr>
        <w:t>:</w:t>
      </w:r>
    </w:p>
    <w:p w14:paraId="575B3EA6" w14:textId="1F2E177D" w:rsidR="00FA1CA3" w:rsidRPr="00784FC5" w:rsidRDefault="00F215C3" w:rsidP="000804DC">
      <w:pPr>
        <w:pStyle w:val="ListParagraph"/>
        <w:spacing w:after="0"/>
        <w:jc w:val="both"/>
      </w:pPr>
      <w:r>
        <w:rPr>
          <w:bCs/>
        </w:rPr>
        <w:t xml:space="preserve">It is notable that traffics with different QoS requirements (e.g. </w:t>
      </w:r>
      <w:proofErr w:type="spellStart"/>
      <w:r>
        <w:rPr>
          <w:bCs/>
        </w:rPr>
        <w:t>eMBB</w:t>
      </w:r>
      <w:proofErr w:type="spellEnd"/>
      <w:r>
        <w:rPr>
          <w:bCs/>
        </w:rPr>
        <w:t xml:space="preserve"> and URLLC) may co-exist in a UE for both DL and UL cases. This is particularly true for industrial use cases, where a UE may be served as a hub of multiple applications and/or devices, and the traffics originated from these applications/devices may possess very different delay and/or reliability targets. On the other hand, </w:t>
      </w:r>
      <w:r w:rsidR="00802860">
        <w:rPr>
          <w:bCs/>
        </w:rPr>
        <w:t>in 5G NR</w:t>
      </w:r>
      <w:r>
        <w:rPr>
          <w:bCs/>
        </w:rPr>
        <w:t xml:space="preserve"> </w:t>
      </w:r>
      <w:r w:rsidR="00802860">
        <w:rPr>
          <w:bCs/>
        </w:rPr>
        <w:t xml:space="preserve">a UE could conduct uplink transmission using both dynamic grants (DG) and configured grants (CG), and it is foreseeable that PUSCH resource collision among these grants may be inevitable considering scheduling flexibility of the </w:t>
      </w:r>
      <w:proofErr w:type="spellStart"/>
      <w:r w:rsidR="00802860">
        <w:rPr>
          <w:bCs/>
        </w:rPr>
        <w:t>gNB</w:t>
      </w:r>
      <w:proofErr w:type="spellEnd"/>
      <w:r w:rsidR="00802860">
        <w:rPr>
          <w:bCs/>
        </w:rPr>
        <w:t xml:space="preserve">. Thus, how a UE should handle prioritization/multiplexing in various cases of resource collision is apparently an issue that needs to be addressed for </w:t>
      </w:r>
      <w:proofErr w:type="spellStart"/>
      <w:r w:rsidR="00802860">
        <w:rPr>
          <w:bCs/>
        </w:rPr>
        <w:t>IIoT</w:t>
      </w:r>
      <w:proofErr w:type="spellEnd"/>
      <w:r w:rsidR="00802860">
        <w:rPr>
          <w:bCs/>
        </w:rPr>
        <w:t xml:space="preserve">-related applications. The SI of NR </w:t>
      </w:r>
      <w:proofErr w:type="spellStart"/>
      <w:r w:rsidR="00802860">
        <w:rPr>
          <w:bCs/>
        </w:rPr>
        <w:t>IIoT</w:t>
      </w:r>
      <w:proofErr w:type="spellEnd"/>
      <w:r w:rsidR="00802860">
        <w:rPr>
          <w:bCs/>
        </w:rPr>
        <w:t xml:space="preserve"> has identified five intra-UE resource collision scenarios, namely intra-UE DL collision, intra-UE UL collision between CG and DG, intra-UE UL collision between DG and DG, intra-UE UL collision between data and control, and intra-UE UL collision between control for different traffics. More detailed descriptions of these scenarios can be found in TR 38.825. </w:t>
      </w:r>
      <w:r w:rsidR="00244AB9">
        <w:rPr>
          <w:bCs/>
        </w:rPr>
        <w:t xml:space="preserve">Additionally, following the decision to support multiple active CG configurations in the UE, it was also agreed to address the conflict between multiple overlapping CGs. </w:t>
      </w:r>
      <w:r w:rsidR="00446669">
        <w:rPr>
          <w:bCs/>
        </w:rPr>
        <w:t>In general, the WI should handle all these scenarios with possible joint efforts between RAN2 and RAN1.</w:t>
      </w:r>
    </w:p>
    <w:p w14:paraId="2D0772F4" w14:textId="77777777" w:rsidR="00446669" w:rsidRPr="0057572F" w:rsidRDefault="00446669" w:rsidP="00F215C3">
      <w:pPr>
        <w:pStyle w:val="ListParagraph"/>
        <w:spacing w:after="0"/>
        <w:jc w:val="both"/>
        <w:rPr>
          <w:bCs/>
        </w:rPr>
      </w:pPr>
    </w:p>
    <w:p w14:paraId="25A14E31" w14:textId="566706AB" w:rsidR="00784FC5" w:rsidRPr="0057572F" w:rsidRDefault="00784FC5" w:rsidP="001935E2">
      <w:pPr>
        <w:pStyle w:val="ListParagraph"/>
        <w:numPr>
          <w:ilvl w:val="0"/>
          <w:numId w:val="3"/>
        </w:numPr>
        <w:spacing w:after="0"/>
        <w:jc w:val="both"/>
        <w:rPr>
          <w:b/>
          <w:bCs/>
        </w:rPr>
      </w:pPr>
      <w:r>
        <w:rPr>
          <w:b/>
          <w:bCs/>
        </w:rPr>
        <w:t>TS</w:t>
      </w:r>
      <w:r w:rsidR="00DB2812">
        <w:rPr>
          <w:b/>
          <w:bCs/>
        </w:rPr>
        <w:t>C</w:t>
      </w:r>
      <w:r>
        <w:rPr>
          <w:b/>
          <w:bCs/>
        </w:rPr>
        <w:t>-related Enhancement</w:t>
      </w:r>
      <w:r w:rsidRPr="0057572F">
        <w:rPr>
          <w:b/>
          <w:bCs/>
        </w:rPr>
        <w:t>:</w:t>
      </w:r>
    </w:p>
    <w:p w14:paraId="205C8353" w14:textId="4DB6007E" w:rsidR="00833EF4" w:rsidRPr="00FF5F8A" w:rsidRDefault="00784FC5" w:rsidP="000804DC">
      <w:pPr>
        <w:pStyle w:val="ListParagraph"/>
        <w:spacing w:after="0"/>
        <w:jc w:val="both"/>
        <w:rPr>
          <w:lang w:val="en-US"/>
        </w:rPr>
      </w:pPr>
      <w:r w:rsidRPr="00784FC5">
        <w:rPr>
          <w:bCs/>
        </w:rPr>
        <w:t xml:space="preserve">The SI of NR </w:t>
      </w:r>
      <w:proofErr w:type="spellStart"/>
      <w:r w:rsidRPr="00784FC5">
        <w:rPr>
          <w:bCs/>
        </w:rPr>
        <w:t>IIoT</w:t>
      </w:r>
      <w:proofErr w:type="spellEnd"/>
      <w:r w:rsidRPr="00784FC5">
        <w:rPr>
          <w:bCs/>
        </w:rPr>
        <w:t xml:space="preserve"> has also identified the applicability of 5GS to support Time-Sensitive Networking (</w:t>
      </w:r>
      <w:r w:rsidR="00DB2812">
        <w:rPr>
          <w:bCs/>
        </w:rPr>
        <w:t>TSC</w:t>
      </w:r>
      <w:r w:rsidRPr="00784FC5">
        <w:rPr>
          <w:bCs/>
        </w:rPr>
        <w:t xml:space="preserve">), in which 5GS may act as a transparent connection within the </w:t>
      </w:r>
      <w:r w:rsidR="00DB2812">
        <w:rPr>
          <w:bCs/>
        </w:rPr>
        <w:t>TSC</w:t>
      </w:r>
      <w:r w:rsidRPr="00784FC5">
        <w:rPr>
          <w:bCs/>
        </w:rPr>
        <w:t xml:space="preserve"> system. Such mechanism could be realized via improvements such as more precise time synchronization and enhancements catering for </w:t>
      </w:r>
      <w:r w:rsidR="00DB2812">
        <w:rPr>
          <w:bCs/>
        </w:rPr>
        <w:t>TSC</w:t>
      </w:r>
      <w:r w:rsidRPr="00784FC5">
        <w:rPr>
          <w:bCs/>
        </w:rPr>
        <w:t xml:space="preserve"> traffic characteristics. </w:t>
      </w:r>
      <w:r w:rsidR="0068529D">
        <w:rPr>
          <w:bCs/>
        </w:rPr>
        <w:t xml:space="preserve">To achieve accurate reference timing provisioning, the SI has concluded that reference timing information can be delivered by </w:t>
      </w:r>
      <w:r w:rsidR="0068529D" w:rsidRPr="0068529D">
        <w:rPr>
          <w:bCs/>
        </w:rPr>
        <w:t>unicast signalling in addition to broadcast signalling</w:t>
      </w:r>
      <w:r w:rsidR="0068529D">
        <w:rPr>
          <w:bCs/>
        </w:rPr>
        <w:t>. On the other hand, i</w:t>
      </w:r>
      <w:r w:rsidR="00833EF4">
        <w:rPr>
          <w:bCs/>
        </w:rPr>
        <w:t xml:space="preserve">t is noticeable that many </w:t>
      </w:r>
      <w:r w:rsidR="00DB2812">
        <w:rPr>
          <w:bCs/>
        </w:rPr>
        <w:t>TSC</w:t>
      </w:r>
      <w:r w:rsidR="00833EF4">
        <w:rPr>
          <w:bCs/>
        </w:rPr>
        <w:t xml:space="preserve"> traffic flows can be characterized with regular periodicities, hence UL/DL resource allocations based on CG and/or Semi-Persistent Scheduling (SPS) are obviously more efficient. </w:t>
      </w:r>
      <w:proofErr w:type="gramStart"/>
      <w:r w:rsidR="0068529D">
        <w:rPr>
          <w:bCs/>
        </w:rPr>
        <w:t>In order for</w:t>
      </w:r>
      <w:proofErr w:type="gramEnd"/>
      <w:r w:rsidR="0068529D">
        <w:rPr>
          <w:bCs/>
        </w:rPr>
        <w:t xml:space="preserve"> the </w:t>
      </w:r>
      <w:proofErr w:type="spellStart"/>
      <w:r w:rsidR="0068529D">
        <w:rPr>
          <w:bCs/>
        </w:rPr>
        <w:t>gNB</w:t>
      </w:r>
      <w:proofErr w:type="spellEnd"/>
      <w:r w:rsidR="0068529D">
        <w:rPr>
          <w:bCs/>
        </w:rPr>
        <w:t xml:space="preserve"> to conduct configured scheduling (for both CG and SPS) in a more judicious manner, the RAN may acquire information relating to </w:t>
      </w:r>
      <w:r w:rsidR="00DB2812">
        <w:rPr>
          <w:lang w:val="en-US"/>
        </w:rPr>
        <w:t>TSC</w:t>
      </w:r>
      <w:r w:rsidR="0068529D">
        <w:rPr>
          <w:lang w:val="en-US"/>
        </w:rPr>
        <w:t xml:space="preserve"> traffic pattern such as </w:t>
      </w:r>
      <w:r w:rsidR="0068529D" w:rsidRPr="003804B4">
        <w:t>message</w:t>
      </w:r>
      <w:r w:rsidR="0068529D">
        <w:rPr>
          <w:lang w:val="en-US"/>
        </w:rPr>
        <w:t xml:space="preserve"> periodicity, message size, message arrival time at </w:t>
      </w:r>
      <w:proofErr w:type="spellStart"/>
      <w:r w:rsidR="0068529D">
        <w:rPr>
          <w:lang w:val="en-US"/>
        </w:rPr>
        <w:t>gNB</w:t>
      </w:r>
      <w:proofErr w:type="spellEnd"/>
      <w:r w:rsidR="0068529D">
        <w:rPr>
          <w:lang w:val="en-US"/>
        </w:rPr>
        <w:t xml:space="preserve"> (DL) and UE (UL).</w:t>
      </w:r>
      <w:r w:rsidRPr="00784FC5">
        <w:rPr>
          <w:bCs/>
        </w:rPr>
        <w:t xml:space="preserve"> </w:t>
      </w:r>
      <w:r w:rsidR="0068529D">
        <w:rPr>
          <w:bCs/>
        </w:rPr>
        <w:t xml:space="preserve">Also, to cater for multiple </w:t>
      </w:r>
      <w:r w:rsidR="00DB2812">
        <w:rPr>
          <w:bCs/>
        </w:rPr>
        <w:t>TSC</w:t>
      </w:r>
      <w:r w:rsidR="0068529D">
        <w:rPr>
          <w:bCs/>
        </w:rPr>
        <w:t xml:space="preserve"> flows with different traffic characteristics, it is sensible to support multiple CG/SPS configurations. Enhancements relating to SPS periodicity should be specified due to the possibility of very frequent traffic arrival rates of </w:t>
      </w:r>
      <w:r w:rsidR="00DB2812">
        <w:rPr>
          <w:bCs/>
        </w:rPr>
        <w:t>TSC</w:t>
      </w:r>
      <w:r w:rsidR="0068529D">
        <w:rPr>
          <w:bCs/>
        </w:rPr>
        <w:t xml:space="preserve"> flows. </w:t>
      </w:r>
      <w:r w:rsidR="00FF5F8A">
        <w:rPr>
          <w:bCs/>
        </w:rPr>
        <w:t>Finally, as</w:t>
      </w:r>
      <w:r w:rsidRPr="00784FC5">
        <w:rPr>
          <w:bCs/>
        </w:rPr>
        <w:t xml:space="preserve"> frame sizes for </w:t>
      </w:r>
      <w:r w:rsidR="00DB2812">
        <w:rPr>
          <w:bCs/>
        </w:rPr>
        <w:t>TSC</w:t>
      </w:r>
      <w:r w:rsidRPr="00784FC5">
        <w:rPr>
          <w:bCs/>
        </w:rPr>
        <w:t>-related applications are typically small, solutions relating to Ethernet header compression could be developed for the sake of improving both efficiency and latency.</w:t>
      </w:r>
      <w:r w:rsidR="00FF5F8A">
        <w:rPr>
          <w:bCs/>
        </w:rPr>
        <w:t xml:space="preserve"> </w:t>
      </w:r>
    </w:p>
    <w:p w14:paraId="2A2C3B16" w14:textId="77777777" w:rsidR="0039038E" w:rsidRPr="00DE3E4C" w:rsidRDefault="0039038E" w:rsidP="0057572F">
      <w:pPr>
        <w:pStyle w:val="ListParagraph"/>
        <w:spacing w:after="0"/>
        <w:jc w:val="both"/>
        <w:rPr>
          <w:bCs/>
        </w:rPr>
      </w:pPr>
    </w:p>
    <w:p w14:paraId="56867D4C" w14:textId="7656DD9F" w:rsidR="00FF5F8A" w:rsidRPr="0057572F" w:rsidRDefault="00FF5F8A" w:rsidP="001935E2">
      <w:pPr>
        <w:pStyle w:val="ListParagraph"/>
        <w:numPr>
          <w:ilvl w:val="0"/>
          <w:numId w:val="3"/>
        </w:numPr>
        <w:spacing w:after="0"/>
        <w:jc w:val="both"/>
        <w:rPr>
          <w:b/>
          <w:bCs/>
        </w:rPr>
      </w:pPr>
      <w:r>
        <w:rPr>
          <w:b/>
          <w:bCs/>
        </w:rPr>
        <w:t>Support of NPN and CAG</w:t>
      </w:r>
    </w:p>
    <w:p w14:paraId="2A553FAE" w14:textId="19BAF9B8" w:rsidR="00D40BA6" w:rsidRDefault="00FF5F8A" w:rsidP="000804DC">
      <w:pPr>
        <w:spacing w:after="0"/>
        <w:ind w:left="709"/>
        <w:jc w:val="both"/>
        <w:rPr>
          <w:lang w:eastAsia="zh-CN"/>
        </w:rPr>
      </w:pPr>
      <w:r>
        <w:rPr>
          <w:bCs/>
        </w:rPr>
        <w:t xml:space="preserve">Since 5GS with </w:t>
      </w:r>
      <w:proofErr w:type="spellStart"/>
      <w:r>
        <w:rPr>
          <w:bCs/>
        </w:rPr>
        <w:t>IIoT</w:t>
      </w:r>
      <w:proofErr w:type="spellEnd"/>
      <w:r>
        <w:rPr>
          <w:bCs/>
        </w:rPr>
        <w:t xml:space="preserve"> capabilities are likely to be deployed in environments such as private factories premises as a non-public network, it is crucial for the WI to also specify the enhancements to the 5G system to support Non-Public Networks. </w:t>
      </w:r>
      <w:proofErr w:type="gramStart"/>
      <w:r>
        <w:rPr>
          <w:bCs/>
        </w:rPr>
        <w:t>In particular, two</w:t>
      </w:r>
      <w:proofErr w:type="gramEnd"/>
      <w:r>
        <w:rPr>
          <w:bCs/>
        </w:rPr>
        <w:t xml:space="preserve"> types of new identifiers have been introduced in SA2 feasibility study (</w:t>
      </w:r>
      <w:r w:rsidRPr="00ED270F">
        <w:t>3GPP TR 23.734</w:t>
      </w:r>
      <w:r w:rsidR="003E3576">
        <w:t xml:space="preserve"> [3]</w:t>
      </w:r>
      <w:r>
        <w:t xml:space="preserve">), namely </w:t>
      </w:r>
      <w:r w:rsidRPr="008C55F2">
        <w:rPr>
          <w:bCs/>
        </w:rPr>
        <w:t>Non</w:t>
      </w:r>
      <w:r w:rsidRPr="00787E9E">
        <w:t>-public network ID (</w:t>
      </w:r>
      <w:r w:rsidRPr="00787E9E">
        <w:rPr>
          <w:lang w:val="en-US"/>
        </w:rPr>
        <w:t>NID)</w:t>
      </w:r>
      <w:r>
        <w:rPr>
          <w:lang w:val="en-US"/>
        </w:rPr>
        <w:t xml:space="preserve"> and </w:t>
      </w:r>
      <w:r w:rsidRPr="008C55F2">
        <w:rPr>
          <w:bCs/>
        </w:rPr>
        <w:t>Closed</w:t>
      </w:r>
      <w:r w:rsidRPr="00787E9E">
        <w:t xml:space="preserve"> Access Group (CAG) ID</w:t>
      </w:r>
      <w:r>
        <w:t xml:space="preserve">. The use of these new identifiers requires modification of the interface between the UE and </w:t>
      </w:r>
      <w:proofErr w:type="spellStart"/>
      <w:r>
        <w:t>gNB</w:t>
      </w:r>
      <w:proofErr w:type="spellEnd"/>
      <w:r>
        <w:t xml:space="preserve">, the NG interface, and the network selection and cell selection/reselection procedures. </w:t>
      </w:r>
    </w:p>
    <w:p w14:paraId="04FE3342" w14:textId="27012187" w:rsidR="005F4BCC" w:rsidRDefault="005F4BCC" w:rsidP="005F4BCC">
      <w:pPr>
        <w:spacing w:after="0"/>
        <w:jc w:val="both"/>
        <w:rPr>
          <w:lang w:eastAsia="zh-CN"/>
        </w:rPr>
      </w:pPr>
    </w:p>
    <w:p w14:paraId="4EC24ADE" w14:textId="424A0600" w:rsidR="005F4BCC" w:rsidRDefault="005F4BCC" w:rsidP="005F4BCC">
      <w:pPr>
        <w:spacing w:after="0"/>
        <w:jc w:val="both"/>
        <w:rPr>
          <w:lang w:eastAsia="zh-CN"/>
        </w:rPr>
      </w:pPr>
      <w:r>
        <w:rPr>
          <w:lang w:eastAsia="zh-CN"/>
        </w:rPr>
        <w:t>Based on the discussions above, this paper puts forward the following proposal:</w:t>
      </w:r>
    </w:p>
    <w:p w14:paraId="30F4FB81" w14:textId="77777777" w:rsidR="005F4BCC" w:rsidRDefault="005F4BCC" w:rsidP="005F4BCC">
      <w:pPr>
        <w:spacing w:after="0"/>
        <w:rPr>
          <w:rFonts w:eastAsia="MS Mincho"/>
          <w:b/>
          <w:lang w:val="en-US"/>
        </w:rPr>
      </w:pPr>
    </w:p>
    <w:p w14:paraId="75B611EC" w14:textId="3FCE4506" w:rsidR="005F4BCC" w:rsidRDefault="005F4BCC" w:rsidP="005F4BCC">
      <w:pPr>
        <w:spacing w:after="0"/>
        <w:rPr>
          <w:rFonts w:eastAsia="MS Mincho"/>
          <w:b/>
          <w:lang w:val="en-US"/>
        </w:rPr>
      </w:pPr>
      <w:r w:rsidRPr="00147541">
        <w:rPr>
          <w:rFonts w:eastAsia="MS Mincho"/>
          <w:b/>
          <w:lang w:val="en-US"/>
        </w:rPr>
        <w:t>Proposal</w:t>
      </w:r>
      <w:r>
        <w:rPr>
          <w:rFonts w:eastAsia="MS Mincho"/>
          <w:b/>
          <w:lang w:val="en-US"/>
        </w:rPr>
        <w:t>:</w:t>
      </w:r>
      <w:r w:rsidRPr="00147541">
        <w:rPr>
          <w:rFonts w:eastAsia="MS Mincho"/>
          <w:b/>
          <w:lang w:val="en-US"/>
        </w:rPr>
        <w:t xml:space="preserve"> </w:t>
      </w:r>
      <w:r>
        <w:rPr>
          <w:rFonts w:eastAsia="MS Mincho"/>
          <w:b/>
          <w:lang w:val="en-US"/>
        </w:rPr>
        <w:t xml:space="preserve">Approve the WI relating to NR </w:t>
      </w:r>
      <w:proofErr w:type="spellStart"/>
      <w:r>
        <w:rPr>
          <w:rFonts w:eastAsia="MS Mincho"/>
          <w:b/>
          <w:lang w:val="en-US"/>
        </w:rPr>
        <w:t>IIoT</w:t>
      </w:r>
      <w:proofErr w:type="spellEnd"/>
      <w:r>
        <w:rPr>
          <w:rFonts w:eastAsia="MS Mincho"/>
          <w:b/>
          <w:lang w:val="en-US"/>
        </w:rPr>
        <w:t xml:space="preserve"> for Rel-16 specifications, which comprises the technical areas including:</w:t>
      </w:r>
    </w:p>
    <w:p w14:paraId="2F7ED2E8" w14:textId="0AC1A405" w:rsidR="005F4BCC" w:rsidRPr="005F4BCC" w:rsidRDefault="005F4BCC" w:rsidP="001935E2">
      <w:pPr>
        <w:pStyle w:val="ListParagraph"/>
        <w:numPr>
          <w:ilvl w:val="0"/>
          <w:numId w:val="8"/>
        </w:numPr>
        <w:spacing w:after="0"/>
        <w:rPr>
          <w:b/>
          <w:lang w:val="en-US"/>
        </w:rPr>
      </w:pPr>
      <w:r w:rsidRPr="0057572F">
        <w:rPr>
          <w:b/>
          <w:bCs/>
        </w:rPr>
        <w:t>Multi-Connectivity and Data Duplication Enhancement</w:t>
      </w:r>
    </w:p>
    <w:p w14:paraId="41BE1A8D" w14:textId="7FBFA5C2" w:rsidR="005F4BCC" w:rsidRPr="005F4BCC" w:rsidRDefault="005F4BCC" w:rsidP="001935E2">
      <w:pPr>
        <w:pStyle w:val="ListParagraph"/>
        <w:numPr>
          <w:ilvl w:val="0"/>
          <w:numId w:val="8"/>
        </w:numPr>
        <w:spacing w:after="0"/>
        <w:rPr>
          <w:b/>
          <w:lang w:val="en-US"/>
        </w:rPr>
      </w:pPr>
      <w:r>
        <w:rPr>
          <w:b/>
          <w:bCs/>
        </w:rPr>
        <w:t>Intra-UE Prioritization/Multiplexing</w:t>
      </w:r>
    </w:p>
    <w:p w14:paraId="7646F464" w14:textId="673AC2EE" w:rsidR="005F4BCC" w:rsidRPr="005F4BCC" w:rsidRDefault="00DB2812" w:rsidP="001935E2">
      <w:pPr>
        <w:pStyle w:val="ListParagraph"/>
        <w:numPr>
          <w:ilvl w:val="0"/>
          <w:numId w:val="8"/>
        </w:numPr>
        <w:spacing w:after="0"/>
        <w:rPr>
          <w:b/>
          <w:lang w:val="en-US"/>
        </w:rPr>
      </w:pPr>
      <w:r>
        <w:rPr>
          <w:b/>
          <w:bCs/>
        </w:rPr>
        <w:t>TSC</w:t>
      </w:r>
      <w:r w:rsidR="005F4BCC">
        <w:rPr>
          <w:b/>
          <w:bCs/>
        </w:rPr>
        <w:t xml:space="preserve">-related </w:t>
      </w:r>
      <w:r w:rsidR="00244AB9">
        <w:rPr>
          <w:b/>
          <w:bCs/>
        </w:rPr>
        <w:t>enhancements</w:t>
      </w:r>
    </w:p>
    <w:p w14:paraId="716A332C" w14:textId="77777777" w:rsidR="005F4BCC" w:rsidRPr="0057572F" w:rsidRDefault="005F4BCC" w:rsidP="001935E2">
      <w:pPr>
        <w:pStyle w:val="ListParagraph"/>
        <w:numPr>
          <w:ilvl w:val="0"/>
          <w:numId w:val="8"/>
        </w:numPr>
        <w:spacing w:after="0"/>
        <w:jc w:val="both"/>
        <w:rPr>
          <w:b/>
          <w:bCs/>
        </w:rPr>
      </w:pPr>
      <w:r>
        <w:rPr>
          <w:b/>
          <w:bCs/>
        </w:rPr>
        <w:t>Support of NPN and CAG</w:t>
      </w:r>
    </w:p>
    <w:p w14:paraId="1FE3636E" w14:textId="77777777" w:rsidR="005F4BCC" w:rsidRPr="005F4BCC" w:rsidRDefault="005F4BCC" w:rsidP="005F4BCC">
      <w:pPr>
        <w:spacing w:after="0"/>
        <w:ind w:left="360"/>
        <w:rPr>
          <w:b/>
          <w:lang w:val="en-US"/>
        </w:rPr>
      </w:pPr>
    </w:p>
    <w:p w14:paraId="716FF482" w14:textId="110DA2D2" w:rsidR="005F4BCC" w:rsidRPr="005F4BCC" w:rsidRDefault="00244AB9" w:rsidP="005F4BCC">
      <w:pPr>
        <w:spacing w:after="0"/>
        <w:jc w:val="both"/>
        <w:rPr>
          <w:lang w:eastAsia="zh-CN"/>
        </w:rPr>
      </w:pPr>
      <w:r>
        <w:rPr>
          <w:lang w:eastAsia="zh-CN"/>
        </w:rPr>
        <w:t>The proposed WID is provided in [4].</w:t>
      </w:r>
    </w:p>
    <w:p w14:paraId="3A4FB463" w14:textId="42D1841D" w:rsidR="00CB16FB" w:rsidRPr="00DD3C8B" w:rsidRDefault="00CB16FB" w:rsidP="005F4BCC">
      <w:pPr>
        <w:pStyle w:val="Heading1"/>
        <w:rPr>
          <w:rFonts w:cs="Arial"/>
        </w:rPr>
      </w:pPr>
      <w:r>
        <w:t>Conclusions</w:t>
      </w:r>
    </w:p>
    <w:p w14:paraId="1EC809FE" w14:textId="014F094F" w:rsidR="00CB16FB" w:rsidRDefault="00CB16FB" w:rsidP="005F4BCC">
      <w:pPr>
        <w:jc w:val="both"/>
        <w:rPr>
          <w:szCs w:val="22"/>
        </w:rPr>
      </w:pPr>
      <w:r>
        <w:rPr>
          <w:szCs w:val="22"/>
        </w:rPr>
        <w:t xml:space="preserve">In this </w:t>
      </w:r>
      <w:r w:rsidRPr="00AD681F">
        <w:rPr>
          <w:szCs w:val="22"/>
        </w:rPr>
        <w:t>contribution</w:t>
      </w:r>
      <w:r>
        <w:rPr>
          <w:szCs w:val="22"/>
        </w:rPr>
        <w:t>,</w:t>
      </w:r>
      <w:r w:rsidRPr="00AD681F">
        <w:rPr>
          <w:szCs w:val="22"/>
        </w:rPr>
        <w:t xml:space="preserve"> </w:t>
      </w:r>
      <w:r w:rsidR="005F4BCC">
        <w:rPr>
          <w:szCs w:val="22"/>
        </w:rPr>
        <w:t xml:space="preserve">we have discussed and summarized the outcome of SI of NR </w:t>
      </w:r>
      <w:proofErr w:type="spellStart"/>
      <w:r w:rsidR="005F4BCC">
        <w:rPr>
          <w:szCs w:val="22"/>
        </w:rPr>
        <w:t>IIoT</w:t>
      </w:r>
      <w:proofErr w:type="spellEnd"/>
      <w:r w:rsidR="005F4BCC">
        <w:rPr>
          <w:szCs w:val="22"/>
        </w:rPr>
        <w:t>. As the enhancements of 5GS identified in the SI are clearly beneficial and/or necessary to support industrial use cases across different verticals, this paper proposes:</w:t>
      </w:r>
    </w:p>
    <w:p w14:paraId="79050979" w14:textId="77777777" w:rsidR="005F4BCC" w:rsidRPr="00147541" w:rsidRDefault="005F4BCC" w:rsidP="005F4BCC">
      <w:pPr>
        <w:spacing w:after="0"/>
        <w:rPr>
          <w:rFonts w:eastAsia="MS Mincho"/>
          <w:b/>
          <w:lang w:val="en-US"/>
        </w:rPr>
      </w:pPr>
      <w:r w:rsidRPr="00147541">
        <w:rPr>
          <w:rFonts w:eastAsia="MS Mincho"/>
          <w:b/>
          <w:lang w:val="en-US"/>
        </w:rPr>
        <w:t>Proposal</w:t>
      </w:r>
      <w:r>
        <w:rPr>
          <w:rFonts w:eastAsia="MS Mincho"/>
          <w:b/>
          <w:lang w:val="en-US"/>
        </w:rPr>
        <w:t>:</w:t>
      </w:r>
      <w:r w:rsidRPr="00147541">
        <w:rPr>
          <w:rFonts w:eastAsia="MS Mincho"/>
          <w:b/>
          <w:lang w:val="en-US"/>
        </w:rPr>
        <w:t xml:space="preserve"> </w:t>
      </w:r>
    </w:p>
    <w:p w14:paraId="51496117" w14:textId="77777777" w:rsidR="005F4BCC" w:rsidRDefault="005F4BCC" w:rsidP="005F4BCC">
      <w:pPr>
        <w:spacing w:after="0"/>
        <w:rPr>
          <w:rFonts w:eastAsia="MS Mincho"/>
          <w:b/>
          <w:lang w:val="en-US"/>
        </w:rPr>
      </w:pPr>
      <w:r>
        <w:rPr>
          <w:rFonts w:eastAsia="MS Mincho"/>
          <w:b/>
          <w:lang w:val="en-US"/>
        </w:rPr>
        <w:t xml:space="preserve">Approve the WI relating to NR </w:t>
      </w:r>
      <w:proofErr w:type="spellStart"/>
      <w:r>
        <w:rPr>
          <w:rFonts w:eastAsia="MS Mincho"/>
          <w:b/>
          <w:lang w:val="en-US"/>
        </w:rPr>
        <w:t>IIoT</w:t>
      </w:r>
      <w:proofErr w:type="spellEnd"/>
      <w:r>
        <w:rPr>
          <w:rFonts w:eastAsia="MS Mincho"/>
          <w:b/>
          <w:lang w:val="en-US"/>
        </w:rPr>
        <w:t xml:space="preserve"> for Rel-16 specifications, which comprises the technical areas including:</w:t>
      </w:r>
    </w:p>
    <w:p w14:paraId="071E8C32" w14:textId="77777777" w:rsidR="005F4BCC" w:rsidRPr="005F4BCC" w:rsidRDefault="005F4BCC" w:rsidP="001935E2">
      <w:pPr>
        <w:pStyle w:val="ListParagraph"/>
        <w:numPr>
          <w:ilvl w:val="0"/>
          <w:numId w:val="8"/>
        </w:numPr>
        <w:spacing w:after="0"/>
        <w:rPr>
          <w:b/>
          <w:lang w:val="en-US"/>
        </w:rPr>
      </w:pPr>
      <w:r w:rsidRPr="0057572F">
        <w:rPr>
          <w:b/>
          <w:bCs/>
        </w:rPr>
        <w:t>Multi-Connectivity and Data Duplication Enhancement</w:t>
      </w:r>
    </w:p>
    <w:p w14:paraId="39F50FAA" w14:textId="77777777" w:rsidR="005F4BCC" w:rsidRPr="005F4BCC" w:rsidRDefault="005F4BCC" w:rsidP="001935E2">
      <w:pPr>
        <w:pStyle w:val="ListParagraph"/>
        <w:numPr>
          <w:ilvl w:val="0"/>
          <w:numId w:val="8"/>
        </w:numPr>
        <w:spacing w:after="0"/>
        <w:rPr>
          <w:b/>
          <w:lang w:val="en-US"/>
        </w:rPr>
      </w:pPr>
      <w:r>
        <w:rPr>
          <w:b/>
          <w:bCs/>
        </w:rPr>
        <w:t>Intra-UE Prioritization/Multiplexing</w:t>
      </w:r>
    </w:p>
    <w:p w14:paraId="0966BAC3" w14:textId="53CC3DA3" w:rsidR="005F4BCC" w:rsidRPr="005F4BCC" w:rsidRDefault="00DB2812" w:rsidP="001935E2">
      <w:pPr>
        <w:pStyle w:val="ListParagraph"/>
        <w:numPr>
          <w:ilvl w:val="0"/>
          <w:numId w:val="8"/>
        </w:numPr>
        <w:spacing w:after="0"/>
        <w:rPr>
          <w:b/>
          <w:lang w:val="en-US"/>
        </w:rPr>
      </w:pPr>
      <w:r>
        <w:rPr>
          <w:b/>
          <w:bCs/>
        </w:rPr>
        <w:t>TSC</w:t>
      </w:r>
      <w:r w:rsidR="005F4BCC">
        <w:rPr>
          <w:b/>
          <w:bCs/>
        </w:rPr>
        <w:t>-related Enhancement</w:t>
      </w:r>
    </w:p>
    <w:p w14:paraId="451781B0" w14:textId="77777777" w:rsidR="005F4BCC" w:rsidRPr="0057572F" w:rsidRDefault="005F4BCC" w:rsidP="001935E2">
      <w:pPr>
        <w:pStyle w:val="ListParagraph"/>
        <w:numPr>
          <w:ilvl w:val="0"/>
          <w:numId w:val="8"/>
        </w:numPr>
        <w:spacing w:after="0"/>
        <w:jc w:val="both"/>
        <w:rPr>
          <w:b/>
          <w:bCs/>
        </w:rPr>
      </w:pPr>
      <w:r>
        <w:rPr>
          <w:b/>
          <w:bCs/>
        </w:rPr>
        <w:t>Support of NPN and CAG</w:t>
      </w:r>
    </w:p>
    <w:p w14:paraId="19F7C372" w14:textId="2B2FEAB8" w:rsidR="00BD3480" w:rsidRDefault="00BD3480" w:rsidP="005F4BCC">
      <w:pPr>
        <w:spacing w:after="0"/>
        <w:rPr>
          <w:b/>
        </w:rPr>
      </w:pPr>
    </w:p>
    <w:p w14:paraId="55CC31EE" w14:textId="77777777" w:rsidR="00244AB9" w:rsidRPr="005F4BCC" w:rsidRDefault="00244AB9" w:rsidP="00244AB9">
      <w:pPr>
        <w:spacing w:after="0"/>
        <w:jc w:val="both"/>
        <w:rPr>
          <w:lang w:eastAsia="zh-CN"/>
        </w:rPr>
      </w:pPr>
      <w:r>
        <w:rPr>
          <w:lang w:eastAsia="zh-CN"/>
        </w:rPr>
        <w:t>The proposed WID is provided in [4].</w:t>
      </w:r>
    </w:p>
    <w:p w14:paraId="684C6504" w14:textId="77777777" w:rsidR="00244AB9" w:rsidRPr="000804DC" w:rsidRDefault="00244AB9" w:rsidP="005F4BCC">
      <w:pPr>
        <w:spacing w:after="0"/>
        <w:rPr>
          <w:b/>
        </w:rPr>
      </w:pPr>
    </w:p>
    <w:p w14:paraId="10D17788" w14:textId="77777777" w:rsidR="00CB16FB" w:rsidRDefault="00CB16FB" w:rsidP="005F4BCC">
      <w:pPr>
        <w:pStyle w:val="Heading1"/>
      </w:pPr>
      <w:r>
        <w:t>References</w:t>
      </w:r>
    </w:p>
    <w:p w14:paraId="519AE8C7" w14:textId="3AC164B2" w:rsidR="007F083C" w:rsidRDefault="003E3576" w:rsidP="005F4BCC">
      <w:pPr>
        <w:textAlignment w:val="auto"/>
      </w:pPr>
      <w:r>
        <w:t xml:space="preserve">[1] </w:t>
      </w:r>
      <w:r w:rsidR="00EA4982" w:rsidRPr="00C366AD">
        <w:t>3GPP TS 22.104: "Service requirements for cyber-physical control applications in vertical domains".</w:t>
      </w:r>
    </w:p>
    <w:p w14:paraId="430E9B48" w14:textId="087E32BE" w:rsidR="003E3576" w:rsidRDefault="003E3576" w:rsidP="005F4BCC">
      <w:pPr>
        <w:textAlignment w:val="auto"/>
      </w:pPr>
      <w:r>
        <w:t xml:space="preserve">[2] TR 38.825, </w:t>
      </w:r>
      <w:r w:rsidRPr="003E3576">
        <w:rPr>
          <w:i/>
        </w:rPr>
        <w:t>Study on NR Industrial Internet of Things (IoT)</w:t>
      </w:r>
      <w:r>
        <w:t>, March 201</w:t>
      </w:r>
      <w:r w:rsidR="00425C14">
        <w:t>9</w:t>
      </w:r>
      <w:r>
        <w:t>.</w:t>
      </w:r>
    </w:p>
    <w:p w14:paraId="582AFD16" w14:textId="532C1294" w:rsidR="003E3576" w:rsidRDefault="003E3576" w:rsidP="005F4BCC">
      <w:pPr>
        <w:textAlignment w:val="auto"/>
      </w:pPr>
      <w:r>
        <w:t xml:space="preserve">[3] TR 23.734 V16.0.0, </w:t>
      </w:r>
      <w:r w:rsidRPr="003E3576">
        <w:rPr>
          <w:i/>
        </w:rPr>
        <w:t>Study on enhancement of 5G System (5GS) for vertical and Local Area Network (LAN) services</w:t>
      </w:r>
      <w:r>
        <w:t>, Dec. 2018.</w:t>
      </w:r>
    </w:p>
    <w:p w14:paraId="5CD18BC2" w14:textId="6D53B9E5" w:rsidR="00244AB9" w:rsidRPr="00244AB9" w:rsidRDefault="00244AB9" w:rsidP="005F4BCC">
      <w:pPr>
        <w:textAlignment w:val="auto"/>
      </w:pPr>
      <w:r>
        <w:lastRenderedPageBreak/>
        <w:t xml:space="preserve">[4] </w:t>
      </w:r>
      <w:r w:rsidRPr="00244AB9">
        <w:t>RP-190190</w:t>
      </w:r>
      <w:r>
        <w:t xml:space="preserve">, </w:t>
      </w:r>
      <w:r w:rsidRPr="00244AB9">
        <w:rPr>
          <w:i/>
        </w:rPr>
        <w:t>New WID: Support of NR Industrial Internet of Things (IoT)</w:t>
      </w:r>
      <w:r>
        <w:t>, Nokia, Nokia Shanghai Bell</w:t>
      </w:r>
    </w:p>
    <w:sectPr w:rsidR="00244AB9" w:rsidRPr="00244AB9"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500D1" w14:textId="77777777" w:rsidR="00243F45" w:rsidRDefault="00243F45">
      <w:r>
        <w:separator/>
      </w:r>
    </w:p>
    <w:p w14:paraId="716D1116" w14:textId="77777777" w:rsidR="00243F45" w:rsidRDefault="00243F45"/>
  </w:endnote>
  <w:endnote w:type="continuationSeparator" w:id="0">
    <w:p w14:paraId="1F2C5CD7" w14:textId="77777777" w:rsidR="00243F45" w:rsidRDefault="00243F45">
      <w:r>
        <w:continuationSeparator/>
      </w:r>
    </w:p>
    <w:p w14:paraId="03F26DFD" w14:textId="77777777" w:rsidR="00243F45" w:rsidRDefault="00243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97ACF" w14:textId="77777777" w:rsidR="00243F45" w:rsidRDefault="00243F45">
      <w:r>
        <w:separator/>
      </w:r>
    </w:p>
    <w:p w14:paraId="7AB8FAF0" w14:textId="77777777" w:rsidR="00243F45" w:rsidRDefault="00243F45"/>
  </w:footnote>
  <w:footnote w:type="continuationSeparator" w:id="0">
    <w:p w14:paraId="304FCAAB" w14:textId="77777777" w:rsidR="00243F45" w:rsidRDefault="00243F45">
      <w:r>
        <w:continuationSeparator/>
      </w:r>
    </w:p>
    <w:p w14:paraId="001ECE67" w14:textId="77777777" w:rsidR="00243F45" w:rsidRDefault="00243F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4"/>
  </w:num>
  <w:num w:numId="4">
    <w:abstractNumId w:val="0"/>
  </w:num>
  <w:num w:numId="5">
    <w:abstractNumId w:val="2"/>
  </w:num>
  <w:num w:numId="6">
    <w:abstractNumId w:val="1"/>
  </w:num>
  <w:num w:numId="7">
    <w:abstractNumId w:val="3"/>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6C34"/>
    <w:rsid w:val="00056EB0"/>
    <w:rsid w:val="00057080"/>
    <w:rsid w:val="000572D1"/>
    <w:rsid w:val="00060704"/>
    <w:rsid w:val="0006204B"/>
    <w:rsid w:val="000633EB"/>
    <w:rsid w:val="000659FC"/>
    <w:rsid w:val="00067869"/>
    <w:rsid w:val="000678B9"/>
    <w:rsid w:val="00070C33"/>
    <w:rsid w:val="000736BD"/>
    <w:rsid w:val="00074CEB"/>
    <w:rsid w:val="00075B2E"/>
    <w:rsid w:val="0007617D"/>
    <w:rsid w:val="00076DE5"/>
    <w:rsid w:val="0007731A"/>
    <w:rsid w:val="000773CD"/>
    <w:rsid w:val="00080137"/>
    <w:rsid w:val="000804DC"/>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D6D"/>
    <w:rsid w:val="001845EA"/>
    <w:rsid w:val="00184960"/>
    <w:rsid w:val="00184E2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4AB9"/>
    <w:rsid w:val="00245CE7"/>
    <w:rsid w:val="00250B57"/>
    <w:rsid w:val="0025178F"/>
    <w:rsid w:val="00252B2E"/>
    <w:rsid w:val="00253BBD"/>
    <w:rsid w:val="00253FF8"/>
    <w:rsid w:val="002569CA"/>
    <w:rsid w:val="002601AD"/>
    <w:rsid w:val="0026234C"/>
    <w:rsid w:val="00262452"/>
    <w:rsid w:val="00264844"/>
    <w:rsid w:val="00265E9F"/>
    <w:rsid w:val="00265FBA"/>
    <w:rsid w:val="00266694"/>
    <w:rsid w:val="002668E6"/>
    <w:rsid w:val="002671EA"/>
    <w:rsid w:val="00267AD3"/>
    <w:rsid w:val="002758A4"/>
    <w:rsid w:val="00276EA4"/>
    <w:rsid w:val="00277232"/>
    <w:rsid w:val="00281782"/>
    <w:rsid w:val="0028221B"/>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4AE"/>
    <w:rsid w:val="002E18CB"/>
    <w:rsid w:val="002E221F"/>
    <w:rsid w:val="002E25D7"/>
    <w:rsid w:val="002E2F3B"/>
    <w:rsid w:val="002E35C3"/>
    <w:rsid w:val="002E6728"/>
    <w:rsid w:val="002F08B7"/>
    <w:rsid w:val="002F1406"/>
    <w:rsid w:val="002F435E"/>
    <w:rsid w:val="002F55FC"/>
    <w:rsid w:val="002F68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71CE"/>
    <w:rsid w:val="00331913"/>
    <w:rsid w:val="00337B03"/>
    <w:rsid w:val="00340D06"/>
    <w:rsid w:val="00341F45"/>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5E90"/>
    <w:rsid w:val="003673BF"/>
    <w:rsid w:val="003711EF"/>
    <w:rsid w:val="00371977"/>
    <w:rsid w:val="00371FD7"/>
    <w:rsid w:val="00372857"/>
    <w:rsid w:val="00372B7C"/>
    <w:rsid w:val="00373086"/>
    <w:rsid w:val="00375FC8"/>
    <w:rsid w:val="00376B13"/>
    <w:rsid w:val="003802A4"/>
    <w:rsid w:val="00381433"/>
    <w:rsid w:val="00382E93"/>
    <w:rsid w:val="0038476E"/>
    <w:rsid w:val="00386432"/>
    <w:rsid w:val="003867E3"/>
    <w:rsid w:val="00387164"/>
    <w:rsid w:val="00387B4A"/>
    <w:rsid w:val="0039038E"/>
    <w:rsid w:val="00391744"/>
    <w:rsid w:val="0039227B"/>
    <w:rsid w:val="00393577"/>
    <w:rsid w:val="00395B6C"/>
    <w:rsid w:val="00396850"/>
    <w:rsid w:val="003A28C4"/>
    <w:rsid w:val="003A2F64"/>
    <w:rsid w:val="003A30E3"/>
    <w:rsid w:val="003A3D77"/>
    <w:rsid w:val="003A3F50"/>
    <w:rsid w:val="003B2F0C"/>
    <w:rsid w:val="003B3667"/>
    <w:rsid w:val="003B443C"/>
    <w:rsid w:val="003B4A3C"/>
    <w:rsid w:val="003B4D4F"/>
    <w:rsid w:val="003B703A"/>
    <w:rsid w:val="003B7A52"/>
    <w:rsid w:val="003C0BE9"/>
    <w:rsid w:val="003C1030"/>
    <w:rsid w:val="003C1D45"/>
    <w:rsid w:val="003C5ABA"/>
    <w:rsid w:val="003C6BF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3576"/>
    <w:rsid w:val="003E517F"/>
    <w:rsid w:val="003E54A2"/>
    <w:rsid w:val="003E7CA9"/>
    <w:rsid w:val="003F0566"/>
    <w:rsid w:val="003F35CF"/>
    <w:rsid w:val="003F4E00"/>
    <w:rsid w:val="003F56FD"/>
    <w:rsid w:val="003F6341"/>
    <w:rsid w:val="00400157"/>
    <w:rsid w:val="004010DA"/>
    <w:rsid w:val="0040207E"/>
    <w:rsid w:val="00402085"/>
    <w:rsid w:val="004021FD"/>
    <w:rsid w:val="00404641"/>
    <w:rsid w:val="004128B3"/>
    <w:rsid w:val="0041355A"/>
    <w:rsid w:val="00415089"/>
    <w:rsid w:val="004162ED"/>
    <w:rsid w:val="00416D40"/>
    <w:rsid w:val="00416ECC"/>
    <w:rsid w:val="00421C94"/>
    <w:rsid w:val="004243AA"/>
    <w:rsid w:val="004248E0"/>
    <w:rsid w:val="00424F9D"/>
    <w:rsid w:val="00425C14"/>
    <w:rsid w:val="00426BA6"/>
    <w:rsid w:val="00426FD6"/>
    <w:rsid w:val="0042737E"/>
    <w:rsid w:val="00430EE0"/>
    <w:rsid w:val="004342AD"/>
    <w:rsid w:val="0043577D"/>
    <w:rsid w:val="00435E44"/>
    <w:rsid w:val="00436527"/>
    <w:rsid w:val="00436EA9"/>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C314A"/>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43E3"/>
    <w:rsid w:val="0050667C"/>
    <w:rsid w:val="0051128C"/>
    <w:rsid w:val="0051260E"/>
    <w:rsid w:val="00512760"/>
    <w:rsid w:val="0051290A"/>
    <w:rsid w:val="00512B3C"/>
    <w:rsid w:val="00514299"/>
    <w:rsid w:val="0051648E"/>
    <w:rsid w:val="00516691"/>
    <w:rsid w:val="005212C8"/>
    <w:rsid w:val="00521674"/>
    <w:rsid w:val="005226CF"/>
    <w:rsid w:val="005258ED"/>
    <w:rsid w:val="00526A04"/>
    <w:rsid w:val="005309A1"/>
    <w:rsid w:val="00531B3F"/>
    <w:rsid w:val="00532855"/>
    <w:rsid w:val="005332ED"/>
    <w:rsid w:val="0053336F"/>
    <w:rsid w:val="00533F0B"/>
    <w:rsid w:val="00533FDB"/>
    <w:rsid w:val="00534099"/>
    <w:rsid w:val="00534F3A"/>
    <w:rsid w:val="005411C7"/>
    <w:rsid w:val="00541D34"/>
    <w:rsid w:val="00543488"/>
    <w:rsid w:val="00544A5E"/>
    <w:rsid w:val="0055152B"/>
    <w:rsid w:val="0055421D"/>
    <w:rsid w:val="00554D54"/>
    <w:rsid w:val="00562D63"/>
    <w:rsid w:val="0056315E"/>
    <w:rsid w:val="005645C4"/>
    <w:rsid w:val="0057264C"/>
    <w:rsid w:val="00572A89"/>
    <w:rsid w:val="00572B28"/>
    <w:rsid w:val="00574198"/>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2364"/>
    <w:rsid w:val="005A37BA"/>
    <w:rsid w:val="005A49F4"/>
    <w:rsid w:val="005A5552"/>
    <w:rsid w:val="005A5F44"/>
    <w:rsid w:val="005A601D"/>
    <w:rsid w:val="005A78CE"/>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64C"/>
    <w:rsid w:val="00604ECC"/>
    <w:rsid w:val="00605D6A"/>
    <w:rsid w:val="00605FB1"/>
    <w:rsid w:val="0060655D"/>
    <w:rsid w:val="006066FC"/>
    <w:rsid w:val="0060700F"/>
    <w:rsid w:val="00614A3D"/>
    <w:rsid w:val="00614EA3"/>
    <w:rsid w:val="00615294"/>
    <w:rsid w:val="006212CD"/>
    <w:rsid w:val="00622C09"/>
    <w:rsid w:val="00623A4E"/>
    <w:rsid w:val="0062731F"/>
    <w:rsid w:val="006278CB"/>
    <w:rsid w:val="00627A07"/>
    <w:rsid w:val="006300A7"/>
    <w:rsid w:val="006303D8"/>
    <w:rsid w:val="006311B3"/>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29D"/>
    <w:rsid w:val="00685414"/>
    <w:rsid w:val="006857F5"/>
    <w:rsid w:val="00692F45"/>
    <w:rsid w:val="00694F03"/>
    <w:rsid w:val="00695480"/>
    <w:rsid w:val="006959A2"/>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4670"/>
    <w:rsid w:val="006C1CCB"/>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4E6"/>
    <w:rsid w:val="00701A48"/>
    <w:rsid w:val="007020C5"/>
    <w:rsid w:val="00702101"/>
    <w:rsid w:val="00702DE1"/>
    <w:rsid w:val="00704AE7"/>
    <w:rsid w:val="00705AB9"/>
    <w:rsid w:val="00706169"/>
    <w:rsid w:val="00706563"/>
    <w:rsid w:val="00706A96"/>
    <w:rsid w:val="00707137"/>
    <w:rsid w:val="0071011C"/>
    <w:rsid w:val="007101C5"/>
    <w:rsid w:val="0071021F"/>
    <w:rsid w:val="00710245"/>
    <w:rsid w:val="0071087C"/>
    <w:rsid w:val="007142AA"/>
    <w:rsid w:val="00714DDF"/>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427D3"/>
    <w:rsid w:val="007427ED"/>
    <w:rsid w:val="0074313A"/>
    <w:rsid w:val="007445D4"/>
    <w:rsid w:val="00744A36"/>
    <w:rsid w:val="00744B0E"/>
    <w:rsid w:val="0074526D"/>
    <w:rsid w:val="00745951"/>
    <w:rsid w:val="00745AE6"/>
    <w:rsid w:val="007504B4"/>
    <w:rsid w:val="007539D3"/>
    <w:rsid w:val="00755373"/>
    <w:rsid w:val="00760622"/>
    <w:rsid w:val="00760A06"/>
    <w:rsid w:val="0076229E"/>
    <w:rsid w:val="00762561"/>
    <w:rsid w:val="00762A6C"/>
    <w:rsid w:val="00763560"/>
    <w:rsid w:val="007662D6"/>
    <w:rsid w:val="00766747"/>
    <w:rsid w:val="007708CF"/>
    <w:rsid w:val="00770969"/>
    <w:rsid w:val="007725E9"/>
    <w:rsid w:val="00773268"/>
    <w:rsid w:val="007739B8"/>
    <w:rsid w:val="00777067"/>
    <w:rsid w:val="0078003F"/>
    <w:rsid w:val="0078095C"/>
    <w:rsid w:val="00781D60"/>
    <w:rsid w:val="00782AD5"/>
    <w:rsid w:val="00782E81"/>
    <w:rsid w:val="00783AE7"/>
    <w:rsid w:val="00783D89"/>
    <w:rsid w:val="00784FC5"/>
    <w:rsid w:val="007859DF"/>
    <w:rsid w:val="00786E37"/>
    <w:rsid w:val="00791BB3"/>
    <w:rsid w:val="0079270F"/>
    <w:rsid w:val="00792F6A"/>
    <w:rsid w:val="007A180C"/>
    <w:rsid w:val="007A1E30"/>
    <w:rsid w:val="007A1E71"/>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F083C"/>
    <w:rsid w:val="007F4ADA"/>
    <w:rsid w:val="007F6EA5"/>
    <w:rsid w:val="00800910"/>
    <w:rsid w:val="00800C28"/>
    <w:rsid w:val="00800E63"/>
    <w:rsid w:val="008018EB"/>
    <w:rsid w:val="0080281E"/>
    <w:rsid w:val="00802860"/>
    <w:rsid w:val="008034C9"/>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58E0"/>
    <w:rsid w:val="00830EE4"/>
    <w:rsid w:val="008326C1"/>
    <w:rsid w:val="00832B8C"/>
    <w:rsid w:val="00832C72"/>
    <w:rsid w:val="00832C9A"/>
    <w:rsid w:val="00833EF4"/>
    <w:rsid w:val="0083551F"/>
    <w:rsid w:val="008362B2"/>
    <w:rsid w:val="00837854"/>
    <w:rsid w:val="00837C7F"/>
    <w:rsid w:val="00844223"/>
    <w:rsid w:val="00844B0A"/>
    <w:rsid w:val="00847323"/>
    <w:rsid w:val="00850264"/>
    <w:rsid w:val="00852E37"/>
    <w:rsid w:val="00853972"/>
    <w:rsid w:val="00853AB0"/>
    <w:rsid w:val="008571F7"/>
    <w:rsid w:val="008575FD"/>
    <w:rsid w:val="008614ED"/>
    <w:rsid w:val="008652A4"/>
    <w:rsid w:val="00866534"/>
    <w:rsid w:val="00866DBD"/>
    <w:rsid w:val="00870BD3"/>
    <w:rsid w:val="00872999"/>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3723"/>
    <w:rsid w:val="008D489D"/>
    <w:rsid w:val="008D7830"/>
    <w:rsid w:val="008D7A76"/>
    <w:rsid w:val="008E03A3"/>
    <w:rsid w:val="008E05A2"/>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291"/>
    <w:rsid w:val="00953C1F"/>
    <w:rsid w:val="0095598A"/>
    <w:rsid w:val="00956D40"/>
    <w:rsid w:val="0095765D"/>
    <w:rsid w:val="009578FC"/>
    <w:rsid w:val="00961C7A"/>
    <w:rsid w:val="0096350E"/>
    <w:rsid w:val="00963BD0"/>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3F6C"/>
    <w:rsid w:val="009E70C6"/>
    <w:rsid w:val="009E7476"/>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14EC"/>
    <w:rsid w:val="00A129F5"/>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4587"/>
    <w:rsid w:val="00B04887"/>
    <w:rsid w:val="00B05907"/>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5065"/>
    <w:rsid w:val="00D05DE4"/>
    <w:rsid w:val="00D069EA"/>
    <w:rsid w:val="00D06D3D"/>
    <w:rsid w:val="00D0734E"/>
    <w:rsid w:val="00D1119F"/>
    <w:rsid w:val="00D116D7"/>
    <w:rsid w:val="00D1230C"/>
    <w:rsid w:val="00D12340"/>
    <w:rsid w:val="00D12B6C"/>
    <w:rsid w:val="00D1620E"/>
    <w:rsid w:val="00D20BCA"/>
    <w:rsid w:val="00D219AA"/>
    <w:rsid w:val="00D22FE7"/>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E4C"/>
    <w:rsid w:val="00DE69B3"/>
    <w:rsid w:val="00DF04C6"/>
    <w:rsid w:val="00DF1735"/>
    <w:rsid w:val="00DF38D0"/>
    <w:rsid w:val="00DF5222"/>
    <w:rsid w:val="00DF52E8"/>
    <w:rsid w:val="00DF74C8"/>
    <w:rsid w:val="00E01B0F"/>
    <w:rsid w:val="00E02A52"/>
    <w:rsid w:val="00E037C3"/>
    <w:rsid w:val="00E0425D"/>
    <w:rsid w:val="00E072D4"/>
    <w:rsid w:val="00E07E92"/>
    <w:rsid w:val="00E10F24"/>
    <w:rsid w:val="00E116C4"/>
    <w:rsid w:val="00E119DA"/>
    <w:rsid w:val="00E120E5"/>
    <w:rsid w:val="00E12B98"/>
    <w:rsid w:val="00E14BDF"/>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D2E"/>
    <w:rsid w:val="00E34E20"/>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498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80336"/>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8D3"/>
    <w:rsid w:val="00FB479C"/>
    <w:rsid w:val="00FB5810"/>
    <w:rsid w:val="00FB5834"/>
    <w:rsid w:val="00FB60F2"/>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742"/>
    <w:rsid w:val="00FF1494"/>
    <w:rsid w:val="00FF1D9F"/>
    <w:rsid w:val="00FF5F8A"/>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5AIRPNAIUNRU-859666464-4789</_dlc_DocId>
    <_dlc_DocIdUrl xmlns="71c5aaf6-e6ce-465b-b873-5148d2a4c105">
      <Url>https://nokia.sharepoint.com/sites/c5g/e2earch/_layouts/15/DocIdRedir.aspx?ID=5AIRPNAIUNRU-859666464-4789</Url>
      <Description>5AIRPNAIUNRU-859666464-4789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2F313-C477-45AC-A82B-BAB1F31C0201}">
  <ds:schemaRefs>
    <ds:schemaRef ds:uri="http://schemas.microsoft.com/sharepoint/events"/>
  </ds:schemaRefs>
</ds:datastoreItem>
</file>

<file path=customXml/itemProps2.xml><?xml version="1.0" encoding="utf-8"?>
<ds:datastoreItem xmlns:ds="http://schemas.openxmlformats.org/officeDocument/2006/customXml" ds:itemID="{4E5B1DE8-C9C7-44C3-91ED-220C122C8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BFEF19-D18E-4506-AEE2-404A3B0D2449}">
  <ds:schemaRefs>
    <ds:schemaRef ds:uri="http://schemas.microsoft.com/office/infopath/2007/PartnerControls"/>
    <ds:schemaRef ds:uri="http://schemas.microsoft.com/office/2006/metadata/properties"/>
    <ds:schemaRef ds:uri="http://schemas.openxmlformats.org/package/2006/metadata/core-properties"/>
    <ds:schemaRef ds:uri="http://purl.org/dc/terms/"/>
    <ds:schemaRef ds:uri="83f22d2f-d16e-4be6-ad4f-29fa0b067c3c"/>
    <ds:schemaRef ds:uri="http://www.w3.org/XML/1998/namespace"/>
    <ds:schemaRef ds:uri="http://schemas.microsoft.com/office/2006/documentManagement/types"/>
    <ds:schemaRef ds:uri="http://purl.org/dc/dcmitype/"/>
    <ds:schemaRef ds:uri="http://purl.org/dc/elements/1.1/"/>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5.xml><?xml version="1.0" encoding="utf-8"?>
<ds:datastoreItem xmlns:ds="http://schemas.openxmlformats.org/officeDocument/2006/customXml" ds:itemID="{6F70EE6C-7D75-4BDC-A7C0-11403DB1E8EF}">
  <ds:schemaRefs>
    <ds:schemaRef ds:uri="Microsoft.SharePoint.Taxonomy.ContentTypeSync"/>
  </ds:schemaRefs>
</ds:datastoreItem>
</file>

<file path=customXml/itemProps6.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7.xml><?xml version="1.0" encoding="utf-8"?>
<ds:datastoreItem xmlns:ds="http://schemas.openxmlformats.org/officeDocument/2006/customXml" ds:itemID="{8D912143-64D2-474E-A50A-F70A6DC53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Dawid Koziol</cp:lastModifiedBy>
  <cp:revision>2</cp:revision>
  <cp:lastPrinted>2003-09-26T18:29:00Z</cp:lastPrinted>
  <dcterms:created xsi:type="dcterms:W3CDTF">2019-03-11T17:35:00Z</dcterms:created>
  <dcterms:modified xsi:type="dcterms:W3CDTF">2019-03-11T17:35:00Z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4bd0cd0b-c417-4624-8d84-7970afe0dd9f</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0x01010054371E7EC0F13943B87F9D9F2BE005B3</vt:lpwstr>
  </property>
</Properties>
</file>